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720"/>
        <w:jc w:val="center"/>
      </w:pPr>
      <w:r>
        <w:rPr>
          <w:rFonts w:ascii="Arial" w:cs="Arial" w:eastAsia="Arial" w:hAnsi="Arial"/>
          <w:b/>
          <w:bCs/>
          <w:color w:val="1F4E79"/>
          <w:sz w:val="48"/>
          <w:szCs w:val="48"/>
        </w:rPr>
        <w:t xml:space="preserve">Artificial Intelligence Acceptable Use Policy</w:t>
      </w:r>
    </w:p>
    <w:p>
      <w:pPr>
        <w:spacing w:after="480" w:before="0"/>
        <w:jc w:val="center"/>
      </w:pPr>
      <w:r>
        <w:rPr>
          <w:rFonts w:ascii="Arial" w:cs="Arial" w:eastAsia="Arial" w:hAnsi="Arial"/>
          <w:i/>
          <w:iCs/>
          <w:color w:val="595959"/>
          <w:sz w:val="24"/>
          <w:szCs w:val="24"/>
        </w:rPr>
        <w:t xml:space="preserve">NIST AI RMF 1.0 / CIS AI Controls Aligned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Organization</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[ORGANIZATION LEGAL NAME]</w:t>
            </w:r>
          </w:p>
        </w:tc>
      </w:tr>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Policy Owner</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[TITLE / DEPARTMENT]</w:t>
            </w:r>
          </w:p>
        </w:tc>
      </w:tr>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Effective Date</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[MM/DD/YYYY]</w:t>
            </w:r>
          </w:p>
        </w:tc>
      </w:tr>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Review Date</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[MM/DD/YYYY]</w:t>
            </w:r>
          </w:p>
        </w:tc>
      </w:tr>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Version</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1.0</w:t>
            </w:r>
          </w:p>
        </w:tc>
      </w:tr>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Classification</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Internal Use / Confidential</w:t>
            </w:r>
          </w:p>
        </w:tc>
      </w:tr>
    </w:tbl>
    <w:p>
      <w:pPr>
        <w:spacing w:after="60" w:before="60"/>
      </w:pPr>
      <w:r>
        <w:t xml:space="preserve"/>
      </w:r>
    </w:p>
    <w:p>
      <w:pPr>
        <w:pBdr>
          <w:top w:val="single" w:color="CCCCCC" w:sz="2" w:space="4"/>
          <w:bottom w:val="single" w:color="CCCCCC" w:sz="2" w:space="4"/>
        </w:pBdr>
        <w:spacing w:after="120" w:before="120"/>
      </w:pPr>
      <w:r>
        <w:rPr>
          <w:rFonts w:ascii="Arial" w:cs="Arial" w:eastAsia="Arial" w:hAnsi="Arial"/>
          <w:i/>
          <w:iCs/>
          <w:color w:val="595959"/>
          <w:sz w:val="18"/>
          <w:szCs w:val="18"/>
        </w:rPr>
        <w:t xml:space="preserve">This template is provided as a starting framework. It should be reviewed and finalized with qualified legal counsel before adoption. Placeholders marked in brackets require organization-specific completion.</w:t>
      </w:r>
    </w:p>
    <w:p>
      <w:pPr>
        <w:spacing w:after="0" w:before="0"/>
      </w:pPr>
      <w:r>
        <w:br w:type="page"/>
      </w:r>
    </w:p>
    <w:p>
      <w:pPr>
        <w:pStyle w:val="Heading1"/>
        <w:shd w:fill="1F4E79" w:val="clear"/>
        <w:spacing w:after="120" w:before="300"/>
      </w:pPr>
      <w:r>
        <w:rPr>
          <w:rFonts w:ascii="Arial" w:cs="Arial" w:eastAsia="Arial" w:hAnsi="Arial"/>
          <w:b/>
          <w:bCs/>
          <w:color w:val="FFFFFF"/>
          <w:sz w:val="32"/>
          <w:szCs w:val="32"/>
        </w:rPr>
        <w:t xml:space="preserve">1. Purpose and Scope</w:t>
      </w:r>
    </w:p>
    <w:p>
      <w:pPr>
        <w:spacing w:after="60" w:before="60"/>
      </w:pPr>
      <w:r>
        <w:rPr>
          <w:rFonts w:ascii="Arial" w:cs="Arial" w:eastAsia="Arial" w:hAnsi="Arial"/>
          <w:sz w:val="22"/>
          <w:szCs w:val="22"/>
        </w:rPr>
        <w:t xml:space="preserve">This policy establishes requirements for the responsible use of artificial intelligence (AI) tools and systems at [ORGANIZATION LEGAL NAME] ("the Organization"). It applies to all employees, contractors, and authorized third parties who use, evaluate, or procure AI tools in connection with organizational activities.</w:t>
      </w:r>
    </w:p>
    <w:p>
      <w:pPr>
        <w:spacing w:after="60" w:before="60"/>
      </w:pPr>
      <w:r>
        <w:rPr>
          <w:rFonts w:ascii="Arial" w:cs="Arial" w:eastAsia="Arial" w:hAnsi="Arial"/>
          <w:sz w:val="22"/>
          <w:szCs w:val="22"/>
        </w:rPr>
        <w:t xml:space="preserve">AI tools include large language models (LLMs), AI-powered productivity assistants, AI coding tools, AI image and media generation systems, AI-assisted analytics and decision tools, and any other system using machine learning or generative AI capabilities.</w:t>
      </w:r>
    </w:p>
    <w:p>
      <w:pPr>
        <w:spacing w:after="60" w:before="60"/>
      </w:pPr>
      <w:r>
        <w:rPr>
          <w:rFonts w:ascii="Arial" w:cs="Arial" w:eastAsia="Arial" w:hAnsi="Arial"/>
          <w:sz w:val="22"/>
          <w:szCs w:val="22"/>
        </w:rPr>
        <w:t xml:space="preserve">The AI landscape changes rapidly. This policy will be reviewed [semi-annually/annually] or when significant new AI technologies or regulatory developments warrant revision. Questions about whether a specific tool is subject to this policy should be directed to [AI GOVERNANCE CONTACT / IT CONTACT].</w:t>
      </w:r>
    </w:p>
    <w:p>
      <w:pPr>
        <w:spacing w:after="60" w:before="60"/>
      </w:pPr>
      <w:r>
        <w:t xml:space="preserve"/>
      </w:r>
    </w:p>
    <w:p>
      <w:pPr>
        <w:pStyle w:val="Heading1"/>
        <w:shd w:fill="1F4E79" w:val="clear"/>
        <w:spacing w:after="120" w:before="300"/>
      </w:pPr>
      <w:r>
        <w:rPr>
          <w:rFonts w:ascii="Arial" w:cs="Arial" w:eastAsia="Arial" w:hAnsi="Arial"/>
          <w:b/>
          <w:bCs/>
          <w:color w:val="FFFFFF"/>
          <w:sz w:val="32"/>
          <w:szCs w:val="32"/>
        </w:rPr>
        <w:t xml:space="preserve">2. Framework Alignment</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2"/>
                <w:szCs w:val="22"/>
              </w:rPr>
              <w:t xml:space="preserve">Framework / Standard</w:t>
            </w:r>
          </w:p>
        </w:tc>
        <w:tc>
          <w:tcPr>
            <w:tcW w:type="dxa" w:w="468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2"/>
                <w:szCs w:val="22"/>
              </w:rPr>
              <w:t xml:space="preserve">Relevant Areas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NIST AI Risk Management Framework (AI RMF 1.0)</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Govern, Map, Measure, Manage functions for AI risk; trustworthy AI characteristics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NIST SP 800-53 Rev. 5</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SA-11 (Developer Security Testing), SI-7 (Software Integrity), PM-25 (Minimize Use of PII), AC-20 (External Systems)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NIST SP 800-218A</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AI software development practices, supply chain risk in AI</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Executive Order 14110 / Federal AI Policy</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Safe, secure, trustworthy AI development and use</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CIS Benchmarks (applicable platforms)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Secure configuration of AI-integrated platforms</w:t>
            </w:r>
          </w:p>
        </w:tc>
      </w:tr>
    </w:tbl>
    <w:p>
      <w:pPr>
        <w:spacing w:after="60" w:before="60"/>
      </w:pPr>
      <w:r>
        <w:t xml:space="preserve"/>
      </w:r>
    </w:p>
    <w:p>
      <w:pPr>
        <w:pStyle w:val="Heading1"/>
        <w:shd w:fill="1F4E79" w:val="clear"/>
        <w:spacing w:after="120" w:before="300"/>
      </w:pPr>
      <w:r>
        <w:rPr>
          <w:rFonts w:ascii="Arial" w:cs="Arial" w:eastAsia="Arial" w:hAnsi="Arial"/>
          <w:b/>
          <w:bCs/>
          <w:color w:val="FFFFFF"/>
          <w:sz w:val="32"/>
          <w:szCs w:val="32"/>
        </w:rPr>
        <w:t xml:space="preserve">3. AI Tool Authorization</w:t>
      </w:r>
    </w:p>
    <w:p>
      <w:pPr>
        <w:pStyle w:val="Heading2"/>
        <w:pBdr>
          <w:bottom w:val="single" w:color="2E75B6" w:sz="4" w:space="1"/>
        </w:pBdr>
        <w:spacing w:after="100" w:before="200"/>
      </w:pPr>
      <w:r>
        <w:rPr>
          <w:rFonts w:ascii="Arial" w:cs="Arial" w:eastAsia="Arial" w:hAnsi="Arial"/>
          <w:b/>
          <w:bCs/>
          <w:color w:val="2E75B6"/>
          <w:sz w:val="26"/>
          <w:szCs w:val="26"/>
        </w:rPr>
        <w:t xml:space="preserve">3.1 Approval Required</w:t>
      </w:r>
    </w:p>
    <w:p>
      <w:pPr>
        <w:spacing w:after="60" w:before="60"/>
      </w:pPr>
      <w:r>
        <w:rPr>
          <w:rFonts w:ascii="Arial" w:cs="Arial" w:eastAsia="Arial" w:hAnsi="Arial"/>
          <w:sz w:val="22"/>
          <w:szCs w:val="22"/>
        </w:rPr>
        <w:t xml:space="preserve">No AI tool or service that will process organizational data, including internal documents, client information, financial records, or any sensitive information, may be used without prior authorization from [AI GOVERNANCE CONTACT / IT CONTACT]. This applies to tools accessed via browser, API, installed software, or third-party integrations.</w:t>
      </w:r>
    </w:p>
    <w:p>
      <w:pPr>
        <w:spacing w:after="60" w:before="60"/>
      </w:pPr>
      <w:r>
        <w:rPr>
          <w:rFonts w:ascii="Arial" w:cs="Arial" w:eastAsia="Arial" w:hAnsi="Arial"/>
          <w:sz w:val="22"/>
          <w:szCs w:val="22"/>
        </w:rPr>
        <w:t xml:space="preserve">The authorization requirement applies even when AI capability is embedded in an otherwise-approved product (e.g., Copilot features added to Microsoft 365 require a separate authorization review if they will process sensitive organizational data).</w:t>
      </w:r>
    </w:p>
    <w:p>
      <w:pPr>
        <w:spacing w:after="60" w:before="60"/>
      </w:pPr>
      <w:r>
        <w:t xml:space="preserve"/>
      </w:r>
    </w:p>
    <w:p>
      <w:pPr>
        <w:pStyle w:val="Heading2"/>
        <w:pBdr>
          <w:bottom w:val="single" w:color="2E75B6" w:sz="4" w:space="1"/>
        </w:pBdr>
        <w:spacing w:after="100" w:before="200"/>
      </w:pPr>
      <w:r>
        <w:rPr>
          <w:rFonts w:ascii="Arial" w:cs="Arial" w:eastAsia="Arial" w:hAnsi="Arial"/>
          <w:b/>
          <w:bCs/>
          <w:color w:val="2E75B6"/>
          <w:sz w:val="26"/>
          <w:szCs w:val="26"/>
        </w:rPr>
        <w:t xml:space="preserve">3.2 Authorized AI Tools Register</w:t>
      </w:r>
    </w:p>
    <w:p>
      <w:pPr>
        <w:spacing w:after="60" w:before="60"/>
      </w:pPr>
      <w:r>
        <w:rPr>
          <w:rFonts w:ascii="Arial" w:cs="Arial" w:eastAsia="Arial" w:hAnsi="Arial"/>
          <w:sz w:val="22"/>
          <w:szCs w:val="22"/>
        </w:rPr>
        <w:t xml:space="preserve">The Organization maintains a register of authorized AI tools. The register is owned by [AI GOVERNANCE CONTACT / IT CONTACT] and is available at [LOCATION / PORTAL].</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2"/>
                <w:szCs w:val="22"/>
              </w:rPr>
              <w:t xml:space="preserve">Tool Name</w:t>
            </w:r>
          </w:p>
        </w:tc>
        <w:tc>
          <w:tcPr>
            <w:tcW w:type="dxa" w:w="468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2"/>
                <w:szCs w:val="22"/>
              </w:rPr>
              <w:t xml:space="preserve">Permitted Uses / Data Classification Limit</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[AI TOOL 1]</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[Use case, data classification limits]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[AI TOOL 2]</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[Use case, data classification limits]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[AI TOOL 3]</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[Use case, data classification limits]</w:t>
            </w:r>
          </w:p>
        </w:tc>
      </w:tr>
    </w:tbl>
    <w:p>
      <w:pPr>
        <w:spacing w:after="60" w:before="60"/>
      </w:pPr>
      <w:r>
        <w:rPr>
          <w:rFonts w:ascii="Arial" w:cs="Arial" w:eastAsia="Arial" w:hAnsi="Arial"/>
          <w:b/>
          <w:bCs/>
          <w:i/>
          <w:iCs/>
          <w:sz w:val="22"/>
          <w:szCs w:val="22"/>
        </w:rPr>
        <w:t xml:space="preserve">NOTE: </w:t>
      </w:r>
      <w:r>
        <w:rPr>
          <w:rFonts w:ascii="Arial" w:cs="Arial" w:eastAsia="Arial" w:hAnsi="Arial"/>
          <w:i/>
          <w:iCs/>
          <w:color w:val="595959"/>
          <w:sz w:val="22"/>
          <w:szCs w:val="22"/>
        </w:rPr>
        <w:t xml:space="preserve">Maintain a live register separately. This table is illustrative.</w:t>
      </w:r>
    </w:p>
    <w:p>
      <w:pPr>
        <w:spacing w:after="60" w:before="60"/>
      </w:pPr>
      <w:r>
        <w:t xml:space="preserve"/>
      </w:r>
    </w:p>
    <w:p>
      <w:pPr>
        <w:pStyle w:val="Heading1"/>
        <w:shd w:fill="1F4E79" w:val="clear"/>
        <w:spacing w:after="120" w:before="300"/>
      </w:pPr>
      <w:r>
        <w:rPr>
          <w:rFonts w:ascii="Arial" w:cs="Arial" w:eastAsia="Arial" w:hAnsi="Arial"/>
          <w:b/>
          <w:bCs/>
          <w:color w:val="FFFFFF"/>
          <w:sz w:val="32"/>
          <w:szCs w:val="32"/>
        </w:rPr>
        <w:t xml:space="preserve">4. Data Handling and Prohibited Inputs</w:t>
      </w:r>
    </w:p>
    <w:p>
      <w:pPr>
        <w:pStyle w:val="Heading2"/>
        <w:pBdr>
          <w:bottom w:val="single" w:color="2E75B6" w:sz="4" w:space="1"/>
        </w:pBdr>
        <w:spacing w:after="100" w:before="200"/>
      </w:pPr>
      <w:r>
        <w:rPr>
          <w:rFonts w:ascii="Arial" w:cs="Arial" w:eastAsia="Arial" w:hAnsi="Arial"/>
          <w:b/>
          <w:bCs/>
          <w:color w:val="2E75B6"/>
          <w:sz w:val="26"/>
          <w:szCs w:val="26"/>
        </w:rPr>
        <w:t xml:space="preserve">4.1 Prohibited Data Inputs</w:t>
      </w:r>
    </w:p>
    <w:p>
      <w:pPr>
        <w:spacing w:after="60" w:before="60"/>
      </w:pPr>
      <w:r>
        <w:rPr>
          <w:rFonts w:ascii="Arial" w:cs="Arial" w:eastAsia="Arial" w:hAnsi="Arial"/>
          <w:sz w:val="22"/>
          <w:szCs w:val="22"/>
        </w:rPr>
        <w:t xml:space="preserve">The following categories of data must never be input into any AI tool, including tools that claim to offer privacy modes or that claim not to retain data, unless the Organization has executed a data processing agreement confirming these claims and IT has approved the use for this data type:</w:t>
      </w:r>
    </w:p>
    <w:p>
      <w:pPr>
        <w:pStyle w:val="ListParagraph"/>
        <w:numPr>
          <w:ilvl w:val="0"/>
          <w:numId w:val="2"/>
        </w:numPr>
        <w:spacing w:after="40" w:before="40"/>
      </w:pPr>
      <w:r>
        <w:rPr>
          <w:rFonts w:ascii="Arial" w:cs="Arial" w:eastAsia="Arial" w:hAnsi="Arial"/>
          <w:sz w:val="22"/>
          <w:szCs w:val="22"/>
        </w:rPr>
        <w:t xml:space="preserve">Personal Identifiable Information (PII): Social Security numbers, driver's license numbers, passport numbers, financial account numbers, biometric data</w:t>
      </w:r>
    </w:p>
    <w:p>
      <w:pPr>
        <w:pStyle w:val="ListParagraph"/>
        <w:numPr>
          <w:ilvl w:val="0"/>
          <w:numId w:val="2"/>
        </w:numPr>
        <w:spacing w:after="40" w:before="40"/>
      </w:pPr>
      <w:r>
        <w:rPr>
          <w:rFonts w:ascii="Arial" w:cs="Arial" w:eastAsia="Arial" w:hAnsi="Arial"/>
          <w:sz w:val="22"/>
          <w:szCs w:val="22"/>
        </w:rPr>
        <w:t xml:space="preserve">Protected Health Information (PHI) subject to HIPAA</w:t>
      </w:r>
    </w:p>
    <w:p>
      <w:pPr>
        <w:pStyle w:val="ListParagraph"/>
        <w:numPr>
          <w:ilvl w:val="0"/>
          <w:numId w:val="2"/>
        </w:numPr>
        <w:spacing w:after="40" w:before="40"/>
      </w:pPr>
      <w:r>
        <w:rPr>
          <w:rFonts w:ascii="Arial" w:cs="Arial" w:eastAsia="Arial" w:hAnsi="Arial"/>
          <w:sz w:val="22"/>
          <w:szCs w:val="22"/>
        </w:rPr>
        <w:t xml:space="preserve">Criminal Justice Information (CJI) as defined under CJIS Security Policy (see CJIS Addendum)</w:t>
      </w:r>
    </w:p>
    <w:p>
      <w:pPr>
        <w:pStyle w:val="ListParagraph"/>
        <w:numPr>
          <w:ilvl w:val="0"/>
          <w:numId w:val="2"/>
        </w:numPr>
        <w:spacing w:after="40" w:before="40"/>
      </w:pPr>
      <w:r>
        <w:rPr>
          <w:rFonts w:ascii="Arial" w:cs="Arial" w:eastAsia="Arial" w:hAnsi="Arial"/>
          <w:sz w:val="22"/>
          <w:szCs w:val="22"/>
        </w:rPr>
        <w:t xml:space="preserve">Client confidential information unless the client has been notified and consented in writing</w:t>
      </w:r>
    </w:p>
    <w:p>
      <w:pPr>
        <w:pStyle w:val="ListParagraph"/>
        <w:numPr>
          <w:ilvl w:val="0"/>
          <w:numId w:val="2"/>
        </w:numPr>
        <w:spacing w:after="40" w:before="40"/>
      </w:pPr>
      <w:r>
        <w:rPr>
          <w:rFonts w:ascii="Arial" w:cs="Arial" w:eastAsia="Arial" w:hAnsi="Arial"/>
          <w:sz w:val="22"/>
          <w:szCs w:val="22"/>
        </w:rPr>
        <w:t xml:space="preserve">Legally privileged communications (attorney-client, work product)</w:t>
      </w:r>
    </w:p>
    <w:p>
      <w:pPr>
        <w:pStyle w:val="ListParagraph"/>
        <w:numPr>
          <w:ilvl w:val="0"/>
          <w:numId w:val="2"/>
        </w:numPr>
        <w:spacing w:after="40" w:before="40"/>
      </w:pPr>
      <w:r>
        <w:rPr>
          <w:rFonts w:ascii="Arial" w:cs="Arial" w:eastAsia="Arial" w:hAnsi="Arial"/>
          <w:sz w:val="22"/>
          <w:szCs w:val="22"/>
        </w:rPr>
        <w:t xml:space="preserve">Non-public financial information, merger/acquisition data, or board-level confidential materials</w:t>
      </w:r>
    </w:p>
    <w:p>
      <w:pPr>
        <w:pStyle w:val="ListParagraph"/>
        <w:numPr>
          <w:ilvl w:val="0"/>
          <w:numId w:val="2"/>
        </w:numPr>
        <w:spacing w:after="40" w:before="40"/>
      </w:pPr>
      <w:r>
        <w:rPr>
          <w:rFonts w:ascii="Arial" w:cs="Arial" w:eastAsia="Arial" w:hAnsi="Arial"/>
          <w:sz w:val="22"/>
          <w:szCs w:val="22"/>
        </w:rPr>
        <w:t xml:space="preserve">Proprietary source code unless the AI tool has been specifically reviewed and approved for code use with appropriate IP and confidentiality protections</w:t>
      </w:r>
    </w:p>
    <w:p>
      <w:pPr>
        <w:pStyle w:val="ListParagraph"/>
        <w:numPr>
          <w:ilvl w:val="0"/>
          <w:numId w:val="2"/>
        </w:numPr>
        <w:spacing w:after="40" w:before="40"/>
      </w:pPr>
      <w:r>
        <w:rPr>
          <w:rFonts w:ascii="Arial" w:cs="Arial" w:eastAsia="Arial" w:hAnsi="Arial"/>
          <w:sz w:val="22"/>
          <w:szCs w:val="22"/>
        </w:rPr>
        <w:t xml:space="preserve">Organizational passwords, credentials, API keys, or security configurations</w:t>
      </w:r>
    </w:p>
    <w:p>
      <w:pPr>
        <w:spacing w:after="60" w:before="60"/>
      </w:pPr>
      <w:r>
        <w:t xml:space="preserve"/>
      </w:r>
    </w:p>
    <w:p>
      <w:pPr>
        <w:pStyle w:val="Heading2"/>
        <w:pBdr>
          <w:bottom w:val="single" w:color="2E75B6" w:sz="4" w:space="1"/>
        </w:pBdr>
        <w:spacing w:after="100" w:before="200"/>
      </w:pPr>
      <w:r>
        <w:rPr>
          <w:rFonts w:ascii="Arial" w:cs="Arial" w:eastAsia="Arial" w:hAnsi="Arial"/>
          <w:b/>
          <w:bCs/>
          <w:color w:val="2E75B6"/>
          <w:sz w:val="26"/>
          <w:szCs w:val="26"/>
        </w:rPr>
        <w:t xml:space="preserve">4.2 Permitted Use with General Business Data</w:t>
      </w:r>
    </w:p>
    <w:p>
      <w:pPr>
        <w:spacing w:after="60" w:before="60"/>
      </w:pPr>
      <w:r>
        <w:rPr>
          <w:rFonts w:ascii="Arial" w:cs="Arial" w:eastAsia="Arial" w:hAnsi="Arial"/>
          <w:sz w:val="22"/>
          <w:szCs w:val="22"/>
        </w:rPr>
        <w:t xml:space="preserve">AI tools on the Authorized Register may be used for the following general business purposes with Internal-classified data:</w:t>
      </w:r>
    </w:p>
    <w:p>
      <w:pPr>
        <w:pStyle w:val="ListParagraph"/>
        <w:numPr>
          <w:ilvl w:val="0"/>
          <w:numId w:val="2"/>
        </w:numPr>
        <w:spacing w:after="40" w:before="40"/>
      </w:pPr>
      <w:r>
        <w:rPr>
          <w:rFonts w:ascii="Arial" w:cs="Arial" w:eastAsia="Arial" w:hAnsi="Arial"/>
          <w:sz w:val="22"/>
          <w:szCs w:val="22"/>
        </w:rPr>
        <w:t xml:space="preserve">Drafting, editing, and summarizing non-sensitive internal documents</w:t>
      </w:r>
    </w:p>
    <w:p>
      <w:pPr>
        <w:pStyle w:val="ListParagraph"/>
        <w:numPr>
          <w:ilvl w:val="0"/>
          <w:numId w:val="2"/>
        </w:numPr>
        <w:spacing w:after="40" w:before="40"/>
      </w:pPr>
      <w:r>
        <w:rPr>
          <w:rFonts w:ascii="Arial" w:cs="Arial" w:eastAsia="Arial" w:hAnsi="Arial"/>
          <w:sz w:val="22"/>
          <w:szCs w:val="22"/>
        </w:rPr>
        <w:t xml:space="preserve">Research, synthesis, and summarization of publicly available information</w:t>
      </w:r>
    </w:p>
    <w:p>
      <w:pPr>
        <w:pStyle w:val="ListParagraph"/>
        <w:numPr>
          <w:ilvl w:val="0"/>
          <w:numId w:val="2"/>
        </w:numPr>
        <w:spacing w:after="40" w:before="40"/>
      </w:pPr>
      <w:r>
        <w:rPr>
          <w:rFonts w:ascii="Arial" w:cs="Arial" w:eastAsia="Arial" w:hAnsi="Arial"/>
          <w:sz w:val="22"/>
          <w:szCs w:val="22"/>
        </w:rPr>
        <w:t xml:space="preserve">Writing assistance, grammar checking, and formatting</w:t>
      </w:r>
    </w:p>
    <w:p>
      <w:pPr>
        <w:pStyle w:val="ListParagraph"/>
        <w:numPr>
          <w:ilvl w:val="0"/>
          <w:numId w:val="2"/>
        </w:numPr>
        <w:spacing w:after="40" w:before="40"/>
      </w:pPr>
      <w:r>
        <w:rPr>
          <w:rFonts w:ascii="Arial" w:cs="Arial" w:eastAsia="Arial" w:hAnsi="Arial"/>
          <w:sz w:val="22"/>
          <w:szCs w:val="22"/>
        </w:rPr>
        <w:t xml:space="preserve">Generating code for internal tools, subject to review and security testing before deployment</w:t>
      </w:r>
    </w:p>
    <w:p>
      <w:pPr>
        <w:pStyle w:val="ListParagraph"/>
        <w:numPr>
          <w:ilvl w:val="0"/>
          <w:numId w:val="2"/>
        </w:numPr>
        <w:spacing w:after="40" w:before="40"/>
      </w:pPr>
      <w:r>
        <w:rPr>
          <w:rFonts w:ascii="Arial" w:cs="Arial" w:eastAsia="Arial" w:hAnsi="Arial"/>
          <w:sz w:val="22"/>
          <w:szCs w:val="22"/>
        </w:rPr>
        <w:t xml:space="preserve">Brainstorming, ideation, and process improvement analysis</w:t>
      </w:r>
    </w:p>
    <w:p>
      <w:pPr>
        <w:pStyle w:val="ListParagraph"/>
        <w:numPr>
          <w:ilvl w:val="0"/>
          <w:numId w:val="2"/>
        </w:numPr>
        <w:spacing w:after="40" w:before="40"/>
      </w:pPr>
      <w:r>
        <w:rPr>
          <w:rFonts w:ascii="Arial" w:cs="Arial" w:eastAsia="Arial" w:hAnsi="Arial"/>
          <w:sz w:val="22"/>
          <w:szCs w:val="22"/>
        </w:rPr>
        <w:t xml:space="preserve">Creating training materials, presentations, and internal communications (non-sensitive content)</w:t>
      </w:r>
    </w:p>
    <w:p>
      <w:pPr>
        <w:spacing w:after="60" w:before="60"/>
      </w:pPr>
      <w:r>
        <w:t xml:space="preserve"/>
      </w:r>
    </w:p>
    <w:p>
      <w:pPr>
        <w:pStyle w:val="Heading1"/>
        <w:shd w:fill="1F4E79" w:val="clear"/>
        <w:spacing w:after="120" w:before="300"/>
      </w:pPr>
      <w:r>
        <w:rPr>
          <w:rFonts w:ascii="Arial" w:cs="Arial" w:eastAsia="Arial" w:hAnsi="Arial"/>
          <w:b/>
          <w:bCs/>
          <w:color w:val="FFFFFF"/>
          <w:sz w:val="32"/>
          <w:szCs w:val="32"/>
        </w:rPr>
        <w:t xml:space="preserve">5. Output Quality, Accuracy, and Human Review</w:t>
      </w:r>
    </w:p>
    <w:p>
      <w:pPr>
        <w:spacing w:after="60" w:before="60"/>
      </w:pPr>
      <w:r>
        <w:rPr>
          <w:rFonts w:ascii="Arial" w:cs="Arial" w:eastAsia="Arial" w:hAnsi="Arial"/>
          <w:sz w:val="22"/>
          <w:szCs w:val="22"/>
        </w:rPr>
        <w:t xml:space="preserve">AI systems produce outputs based on statistical patterns. They can generate plausible-sounding but factually incorrect, outdated, or fabricated information. Users are responsible for the accuracy and quality of work products they produce or submit, regardless of whether AI tools were used.</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2"/>
                <w:szCs w:val="22"/>
              </w:rPr>
              <w:t xml:space="preserve">Output Category</w:t>
            </w:r>
          </w:p>
        </w:tc>
        <w:tc>
          <w:tcPr>
            <w:tcW w:type="dxa" w:w="468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r>
              <w:rPr>
                <w:rFonts w:ascii="Arial" w:cs="Arial" w:eastAsia="Arial" w:hAnsi="Arial"/>
                <w:b/>
                <w:bCs/>
                <w:color w:val="FFFFFF"/>
                <w:sz w:val="22"/>
                <w:szCs w:val="22"/>
              </w:rPr>
              <w:t xml:space="preserve">Required Review Obligation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Client deliverables (reports, recommendations, communications)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Mandatory human review by qualified subject-matter expert before delivery.</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Legal, financial, or compliance analysis</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Must be reviewed by qualified professional. AI output is a draft only, not a conclusion.</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Code for production systems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Must pass code review and security testing per development standards.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External-facing communications (marketing, press, social)</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Mandatory review and approval per existing communications policy.</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Internal analysis and research</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User must verify key facts against primary or authoritative sources.</w:t>
            </w:r>
          </w:p>
        </w:tc>
      </w:tr>
    </w:tbl>
    <w:p>
      <w:pPr>
        <w:spacing w:after="60" w:before="60"/>
      </w:pPr>
      <w:r>
        <w:t xml:space="preserve"/>
      </w:r>
    </w:p>
    <w:p>
      <w:pPr>
        <w:pStyle w:val="Heading1"/>
        <w:shd w:fill="1F4E79" w:val="clear"/>
        <w:spacing w:after="120" w:before="300"/>
      </w:pPr>
      <w:r>
        <w:rPr>
          <w:rFonts w:ascii="Arial" w:cs="Arial" w:eastAsia="Arial" w:hAnsi="Arial"/>
          <w:b/>
          <w:bCs/>
          <w:color w:val="FFFFFF"/>
          <w:sz w:val="32"/>
          <w:szCs w:val="32"/>
        </w:rPr>
        <w:t xml:space="preserve">6. Intellectual Property and Content Ownership</w:t>
      </w:r>
    </w:p>
    <w:p>
      <w:pPr>
        <w:spacing w:after="60" w:before="60"/>
      </w:pPr>
      <w:r>
        <w:rPr>
          <w:rFonts w:ascii="Arial" w:cs="Arial" w:eastAsia="Arial" w:hAnsi="Arial"/>
          <w:sz w:val="22"/>
          <w:szCs w:val="22"/>
        </w:rPr>
        <w:t xml:space="preserve">The intellectual property implications of AI-generated content are evolving and contested in law. Until greater legal clarity exists, the Organization applies the following guidance:</w:t>
      </w:r>
    </w:p>
    <w:p>
      <w:pPr>
        <w:pStyle w:val="ListParagraph"/>
        <w:numPr>
          <w:ilvl w:val="0"/>
          <w:numId w:val="2"/>
        </w:numPr>
        <w:spacing w:after="40" w:before="40"/>
      </w:pPr>
      <w:r>
        <w:rPr>
          <w:rFonts w:ascii="Arial" w:cs="Arial" w:eastAsia="Arial" w:hAnsi="Arial"/>
          <w:sz w:val="22"/>
          <w:szCs w:val="22"/>
        </w:rPr>
        <w:t xml:space="preserve">AI-generated content used in client deliverables must be disclosed to the client if required by the client agreement or if the client has a reasonable expectation of human-authored work.</w:t>
      </w:r>
    </w:p>
    <w:p>
      <w:pPr>
        <w:pStyle w:val="ListParagraph"/>
        <w:numPr>
          <w:ilvl w:val="0"/>
          <w:numId w:val="2"/>
        </w:numPr>
        <w:spacing w:after="40" w:before="40"/>
      </w:pPr>
      <w:r>
        <w:rPr>
          <w:rFonts w:ascii="Arial" w:cs="Arial" w:eastAsia="Arial" w:hAnsi="Arial"/>
          <w:sz w:val="22"/>
          <w:szCs w:val="22"/>
        </w:rPr>
        <w:t xml:space="preserve">AI tools trained on third-party data may reproduce copyrighted content. Users must not submit AI-generated content for copyright registration without legal review.</w:t>
      </w:r>
    </w:p>
    <w:p>
      <w:pPr>
        <w:pStyle w:val="ListParagraph"/>
        <w:numPr>
          <w:ilvl w:val="0"/>
          <w:numId w:val="2"/>
        </w:numPr>
        <w:spacing w:after="40" w:before="40"/>
      </w:pPr>
      <w:r>
        <w:rPr>
          <w:rFonts w:ascii="Arial" w:cs="Arial" w:eastAsia="Arial" w:hAnsi="Arial"/>
          <w:sz w:val="22"/>
          <w:szCs w:val="22"/>
        </w:rPr>
        <w:t xml:space="preserve">Users must not use AI tools to reproduce, closely paraphrase, or circumvent the copyright of third-party materials.</w:t>
      </w:r>
    </w:p>
    <w:p>
      <w:pPr>
        <w:pStyle w:val="ListParagraph"/>
        <w:numPr>
          <w:ilvl w:val="0"/>
          <w:numId w:val="2"/>
        </w:numPr>
        <w:spacing w:after="40" w:before="40"/>
      </w:pPr>
      <w:r>
        <w:rPr>
          <w:rFonts w:ascii="Arial" w:cs="Arial" w:eastAsia="Arial" w:hAnsi="Arial"/>
          <w:sz w:val="22"/>
          <w:szCs w:val="22"/>
        </w:rPr>
        <w:t xml:space="preserve">Proprietary information, trade secrets, or confidential methods submitted to AI tools may be processed or retained by the vendor. This is an irreversible disclosure risk. Treat it as such.</w:t>
      </w:r>
    </w:p>
    <w:p>
      <w:pPr>
        <w:spacing w:after="60" w:before="60"/>
      </w:pPr>
      <w:r>
        <w:t xml:space="preserve"/>
      </w:r>
    </w:p>
    <w:p>
      <w:pPr>
        <w:pStyle w:val="Heading1"/>
        <w:shd w:fill="1F4E79" w:val="clear"/>
        <w:spacing w:after="120" w:before="300"/>
      </w:pPr>
      <w:r>
        <w:rPr>
          <w:rFonts w:ascii="Arial" w:cs="Arial" w:eastAsia="Arial" w:hAnsi="Arial"/>
          <w:b/>
          <w:bCs/>
          <w:color w:val="FFFFFF"/>
          <w:sz w:val="32"/>
          <w:szCs w:val="32"/>
        </w:rPr>
        <w:t xml:space="preserve">7. Transparency and Disclosure</w:t>
      </w:r>
    </w:p>
    <w:p>
      <w:pPr>
        <w:spacing w:after="60" w:before="60"/>
      </w:pPr>
      <w:r>
        <w:rPr>
          <w:rFonts w:ascii="Arial" w:cs="Arial" w:eastAsia="Arial" w:hAnsi="Arial"/>
          <w:sz w:val="22"/>
          <w:szCs w:val="22"/>
        </w:rPr>
        <w:t xml:space="preserve">The Organization's standard for AI disclosure is: be honest about AI use when it is relevant to the recipient or stakeholder. Specifically:</w:t>
      </w:r>
    </w:p>
    <w:p>
      <w:pPr>
        <w:pStyle w:val="ListParagraph"/>
        <w:numPr>
          <w:ilvl w:val="0"/>
          <w:numId w:val="2"/>
        </w:numPr>
        <w:spacing w:after="40" w:before="40"/>
      </w:pPr>
      <w:r>
        <w:rPr>
          <w:rFonts w:ascii="Arial" w:cs="Arial" w:eastAsia="Arial" w:hAnsi="Arial"/>
          <w:sz w:val="22"/>
          <w:szCs w:val="22"/>
        </w:rPr>
        <w:t xml:space="preserve">Employees must not represent AI-generated work as entirely their own in contexts where that representation would be materially misleading.</w:t>
      </w:r>
    </w:p>
    <w:p>
      <w:pPr>
        <w:pStyle w:val="ListParagraph"/>
        <w:numPr>
          <w:ilvl w:val="0"/>
          <w:numId w:val="2"/>
        </w:numPr>
        <w:spacing w:after="40" w:before="40"/>
      </w:pPr>
      <w:r>
        <w:rPr>
          <w:rFonts w:ascii="Arial" w:cs="Arial" w:eastAsia="Arial" w:hAnsi="Arial"/>
          <w:sz w:val="22"/>
          <w:szCs w:val="22"/>
        </w:rPr>
        <w:t xml:space="preserve">Client-facing use of AI for work specifically contracted to involve human expertise should be disclosed per the terms of the engagement.</w:t>
      </w:r>
    </w:p>
    <w:p>
      <w:pPr>
        <w:pStyle w:val="ListParagraph"/>
        <w:numPr>
          <w:ilvl w:val="0"/>
          <w:numId w:val="2"/>
        </w:numPr>
        <w:spacing w:after="40" w:before="40"/>
      </w:pPr>
      <w:r>
        <w:rPr>
          <w:rFonts w:ascii="Arial" w:cs="Arial" w:eastAsia="Arial" w:hAnsi="Arial"/>
          <w:sz w:val="22"/>
          <w:szCs w:val="22"/>
        </w:rPr>
        <w:t xml:space="preserve">Internal documents and communications should note where AI tools contributed substantially to the content where that context is material.</w:t>
      </w:r>
    </w:p>
    <w:p>
      <w:pPr>
        <w:spacing w:after="60" w:before="60"/>
      </w:pPr>
      <w:r>
        <w:t xml:space="preserve"/>
      </w:r>
    </w:p>
    <w:p>
      <w:pPr>
        <w:pStyle w:val="Heading1"/>
        <w:shd w:fill="1F4E79" w:val="clear"/>
        <w:spacing w:after="120" w:before="300"/>
      </w:pPr>
      <w:r>
        <w:rPr>
          <w:rFonts w:ascii="Arial" w:cs="Arial" w:eastAsia="Arial" w:hAnsi="Arial"/>
          <w:b/>
          <w:bCs/>
          <w:color w:val="FFFFFF"/>
          <w:sz w:val="32"/>
          <w:szCs w:val="32"/>
        </w:rPr>
        <w:t xml:space="preserve">8. AI Governance and Risk Management</w:t>
      </w:r>
    </w:p>
    <w:p>
      <w:pPr>
        <w:pStyle w:val="Heading2"/>
        <w:pBdr>
          <w:bottom w:val="single" w:color="2E75B6" w:sz="4" w:space="1"/>
        </w:pBdr>
        <w:spacing w:after="100" w:before="200"/>
      </w:pPr>
      <w:r>
        <w:rPr>
          <w:rFonts w:ascii="Arial" w:cs="Arial" w:eastAsia="Arial" w:hAnsi="Arial"/>
          <w:b/>
          <w:bCs/>
          <w:color w:val="2E75B6"/>
          <w:sz w:val="26"/>
          <w:szCs w:val="26"/>
        </w:rPr>
        <w:t xml:space="preserve">8.1 AI Inventory</w:t>
      </w:r>
    </w:p>
    <w:p>
      <w:pPr>
        <w:spacing w:after="60" w:before="60"/>
      </w:pPr>
      <w:r>
        <w:rPr>
          <w:rFonts w:ascii="Arial" w:cs="Arial" w:eastAsia="Arial" w:hAnsi="Arial"/>
          <w:sz w:val="22"/>
          <w:szCs w:val="22"/>
        </w:rPr>
        <w:t xml:space="preserve">The Organization maintains a record of all authorized AI tools in use, including the intended use case, data classification limits, vendor, and assigned internal owner. The AI inventory is reviewed [quarterly/semi-annually] by [AI GOVERNANCE CONTACT].</w:t>
      </w:r>
    </w:p>
    <w:p>
      <w:pPr>
        <w:spacing w:after="60" w:before="60"/>
      </w:pPr>
      <w:r>
        <w:t xml:space="preserve"/>
      </w:r>
    </w:p>
    <w:p>
      <w:pPr>
        <w:pStyle w:val="Heading2"/>
        <w:pBdr>
          <w:bottom w:val="single" w:color="2E75B6" w:sz="4" w:space="1"/>
        </w:pBdr>
        <w:spacing w:after="100" w:before="200"/>
      </w:pPr>
      <w:r>
        <w:rPr>
          <w:rFonts w:ascii="Arial" w:cs="Arial" w:eastAsia="Arial" w:hAnsi="Arial"/>
          <w:b/>
          <w:bCs/>
          <w:color w:val="2E75B6"/>
          <w:sz w:val="26"/>
          <w:szCs w:val="26"/>
        </w:rPr>
        <w:t xml:space="preserve">8.2 Risk Assessment for High-Risk AI Use</w:t>
      </w:r>
    </w:p>
    <w:p>
      <w:pPr>
        <w:spacing w:after="60" w:before="60"/>
      </w:pPr>
      <w:r>
        <w:rPr>
          <w:rFonts w:ascii="Arial" w:cs="Arial" w:eastAsia="Arial" w:hAnsi="Arial"/>
          <w:sz w:val="22"/>
          <w:szCs w:val="22"/>
        </w:rPr>
        <w:t xml:space="preserve">AI uses that involve automated decision-making, significant impact on individuals, or processing of sensitive data require a documented AI risk assessment before deployment. High-risk uses include:</w:t>
      </w:r>
    </w:p>
    <w:p>
      <w:pPr>
        <w:pStyle w:val="ListParagraph"/>
        <w:numPr>
          <w:ilvl w:val="0"/>
          <w:numId w:val="2"/>
        </w:numPr>
        <w:spacing w:after="40" w:before="40"/>
      </w:pPr>
      <w:r>
        <w:rPr>
          <w:rFonts w:ascii="Arial" w:cs="Arial" w:eastAsia="Arial" w:hAnsi="Arial"/>
          <w:sz w:val="22"/>
          <w:szCs w:val="22"/>
        </w:rPr>
        <w:t xml:space="preserve">Automated screening, scoring, or ranking of individuals (hiring, lending, benefits, access)</w:t>
      </w:r>
    </w:p>
    <w:p>
      <w:pPr>
        <w:pStyle w:val="ListParagraph"/>
        <w:numPr>
          <w:ilvl w:val="0"/>
          <w:numId w:val="2"/>
        </w:numPr>
        <w:spacing w:after="40" w:before="40"/>
      </w:pPr>
      <w:r>
        <w:rPr>
          <w:rFonts w:ascii="Arial" w:cs="Arial" w:eastAsia="Arial" w:hAnsi="Arial"/>
          <w:sz w:val="22"/>
          <w:szCs w:val="22"/>
        </w:rPr>
        <w:t xml:space="preserve">Automated generation of legal or compliance determinations</w:t>
      </w:r>
    </w:p>
    <w:p>
      <w:pPr>
        <w:pStyle w:val="ListParagraph"/>
        <w:numPr>
          <w:ilvl w:val="0"/>
          <w:numId w:val="2"/>
        </w:numPr>
        <w:spacing w:after="40" w:before="40"/>
      </w:pPr>
      <w:r>
        <w:rPr>
          <w:rFonts w:ascii="Arial" w:cs="Arial" w:eastAsia="Arial" w:hAnsi="Arial"/>
          <w:sz w:val="22"/>
          <w:szCs w:val="22"/>
        </w:rPr>
        <w:t xml:space="preserve">AI-powered security controls or threat detection</w:t>
      </w:r>
    </w:p>
    <w:p>
      <w:pPr>
        <w:pStyle w:val="ListParagraph"/>
        <w:numPr>
          <w:ilvl w:val="0"/>
          <w:numId w:val="2"/>
        </w:numPr>
        <w:spacing w:after="40" w:before="40"/>
      </w:pPr>
      <w:r>
        <w:rPr>
          <w:rFonts w:ascii="Arial" w:cs="Arial" w:eastAsia="Arial" w:hAnsi="Arial"/>
          <w:sz w:val="22"/>
          <w:szCs w:val="22"/>
        </w:rPr>
        <w:t xml:space="preserve">Customer-facing AI interactions that may create contractual or legal exposure</w:t>
      </w:r>
    </w:p>
    <w:p>
      <w:pPr>
        <w:spacing w:after="60" w:before="60"/>
      </w:pPr>
      <w:r>
        <w:t xml:space="preserve"/>
      </w:r>
    </w:p>
    <w:p>
      <w:pPr>
        <w:pStyle w:val="Heading2"/>
        <w:pBdr>
          <w:bottom w:val="single" w:color="2E75B6" w:sz="4" w:space="1"/>
        </w:pBdr>
        <w:spacing w:after="100" w:before="200"/>
      </w:pPr>
      <w:r>
        <w:rPr>
          <w:rFonts w:ascii="Arial" w:cs="Arial" w:eastAsia="Arial" w:hAnsi="Arial"/>
          <w:b/>
          <w:bCs/>
          <w:color w:val="2E75B6"/>
          <w:sz w:val="26"/>
          <w:szCs w:val="26"/>
        </w:rPr>
        <w:t xml:space="preserve">8.3 Vendor Evaluation for AI Services</w:t>
      </w:r>
    </w:p>
    <w:p>
      <w:pPr>
        <w:spacing w:after="60" w:before="60"/>
      </w:pPr>
      <w:r>
        <w:rPr>
          <w:rFonts w:ascii="Arial" w:cs="Arial" w:eastAsia="Arial" w:hAnsi="Arial"/>
          <w:sz w:val="22"/>
          <w:szCs w:val="22"/>
        </w:rPr>
        <w:t xml:space="preserve">AI service vendors must be evaluated on the following criteria in addition to standard cloud vendor requirements:</w:t>
      </w:r>
    </w:p>
    <w:p>
      <w:pPr>
        <w:pStyle w:val="ListParagraph"/>
        <w:numPr>
          <w:ilvl w:val="0"/>
          <w:numId w:val="2"/>
        </w:numPr>
        <w:spacing w:after="40" w:before="40"/>
      </w:pPr>
      <w:r>
        <w:rPr>
          <w:rFonts w:ascii="Arial" w:cs="Arial" w:eastAsia="Arial" w:hAnsi="Arial"/>
          <w:sz w:val="22"/>
          <w:szCs w:val="22"/>
        </w:rPr>
        <w:t xml:space="preserve">Data retention policy: Does the vendor retain input data? For how long? Is opt-out available?</w:t>
      </w:r>
    </w:p>
    <w:p>
      <w:pPr>
        <w:pStyle w:val="ListParagraph"/>
        <w:numPr>
          <w:ilvl w:val="0"/>
          <w:numId w:val="2"/>
        </w:numPr>
        <w:spacing w:after="40" w:before="40"/>
      </w:pPr>
      <w:r>
        <w:rPr>
          <w:rFonts w:ascii="Arial" w:cs="Arial" w:eastAsia="Arial" w:hAnsi="Arial"/>
          <w:sz w:val="22"/>
          <w:szCs w:val="22"/>
        </w:rPr>
        <w:t xml:space="preserve">Training data use: Will input data be used to train or improve the model?</w:t>
      </w:r>
    </w:p>
    <w:p>
      <w:pPr>
        <w:pStyle w:val="ListParagraph"/>
        <w:numPr>
          <w:ilvl w:val="0"/>
          <w:numId w:val="2"/>
        </w:numPr>
        <w:spacing w:after="40" w:before="40"/>
      </w:pPr>
      <w:r>
        <w:rPr>
          <w:rFonts w:ascii="Arial" w:cs="Arial" w:eastAsia="Arial" w:hAnsi="Arial"/>
          <w:sz w:val="22"/>
          <w:szCs w:val="22"/>
        </w:rPr>
        <w:t xml:space="preserve">Output liability: What terms govern liability for harmful or inaccurate AI outputs?</w:t>
      </w:r>
    </w:p>
    <w:p>
      <w:pPr>
        <w:pStyle w:val="ListParagraph"/>
        <w:numPr>
          <w:ilvl w:val="0"/>
          <w:numId w:val="2"/>
        </w:numPr>
        <w:spacing w:after="40" w:before="40"/>
      </w:pPr>
      <w:r>
        <w:rPr>
          <w:rFonts w:ascii="Arial" w:cs="Arial" w:eastAsia="Arial" w:hAnsi="Arial"/>
          <w:sz w:val="22"/>
          <w:szCs w:val="22"/>
        </w:rPr>
        <w:t xml:space="preserve">Audit and explainability: Can the vendor explain how outputs are generated for decisions that affect individuals?</w:t>
      </w:r>
    </w:p>
    <w:p>
      <w:pPr>
        <w:pStyle w:val="ListParagraph"/>
        <w:numPr>
          <w:ilvl w:val="0"/>
          <w:numId w:val="2"/>
        </w:numPr>
        <w:spacing w:after="40" w:before="40"/>
      </w:pPr>
      <w:r>
        <w:rPr>
          <w:rFonts w:ascii="Arial" w:cs="Arial" w:eastAsia="Arial" w:hAnsi="Arial"/>
          <w:sz w:val="22"/>
          <w:szCs w:val="22"/>
        </w:rPr>
        <w:t xml:space="preserve">Bias and safety testing: Has the vendor conducted bias, safety, and red-team testing?</w:t>
      </w:r>
    </w:p>
    <w:p>
      <w:pPr>
        <w:spacing w:after="60" w:before="60"/>
      </w:pPr>
      <w:r>
        <w:t xml:space="preserve"/>
      </w:r>
    </w:p>
    <w:p>
      <w:pPr>
        <w:pStyle w:val="Heading1"/>
        <w:shd w:fill="1F4E79" w:val="clear"/>
        <w:spacing w:after="120" w:before="300"/>
      </w:pPr>
      <w:r>
        <w:rPr>
          <w:rFonts w:ascii="Arial" w:cs="Arial" w:eastAsia="Arial" w:hAnsi="Arial"/>
          <w:b/>
          <w:bCs/>
          <w:color w:val="FFFFFF"/>
          <w:sz w:val="32"/>
          <w:szCs w:val="32"/>
        </w:rPr>
        <w:t xml:space="preserve">9. Prohibited AI Uses</w:t>
      </w:r>
    </w:p>
    <w:p>
      <w:pPr>
        <w:spacing w:after="60" w:before="60"/>
      </w:pPr>
      <w:r>
        <w:rPr>
          <w:rFonts w:ascii="Arial" w:cs="Arial" w:eastAsia="Arial" w:hAnsi="Arial"/>
          <w:sz w:val="22"/>
          <w:szCs w:val="22"/>
        </w:rPr>
        <w:t xml:space="preserve">The following uses of AI are prohibited regardless of the tool or platform:</w:t>
      </w:r>
    </w:p>
    <w:p>
      <w:pPr>
        <w:pStyle w:val="ListParagraph"/>
        <w:numPr>
          <w:ilvl w:val="0"/>
          <w:numId w:val="2"/>
        </w:numPr>
        <w:spacing w:after="40" w:before="40"/>
      </w:pPr>
      <w:r>
        <w:rPr>
          <w:rFonts w:ascii="Arial" w:cs="Arial" w:eastAsia="Arial" w:hAnsi="Arial"/>
          <w:sz w:val="22"/>
          <w:szCs w:val="22"/>
        </w:rPr>
        <w:t xml:space="preserve">Generating deepfakes or synthetic media designed to impersonate or deceive</w:t>
      </w:r>
    </w:p>
    <w:p>
      <w:pPr>
        <w:pStyle w:val="ListParagraph"/>
        <w:numPr>
          <w:ilvl w:val="0"/>
          <w:numId w:val="2"/>
        </w:numPr>
        <w:spacing w:after="40" w:before="40"/>
      </w:pPr>
      <w:r>
        <w:rPr>
          <w:rFonts w:ascii="Arial" w:cs="Arial" w:eastAsia="Arial" w:hAnsi="Arial"/>
          <w:sz w:val="22"/>
          <w:szCs w:val="22"/>
        </w:rPr>
        <w:t xml:space="preserve">Generating content designed to harass, defame, or discriminate against individuals</w:t>
      </w:r>
    </w:p>
    <w:p>
      <w:pPr>
        <w:pStyle w:val="ListParagraph"/>
        <w:numPr>
          <w:ilvl w:val="0"/>
          <w:numId w:val="2"/>
        </w:numPr>
        <w:spacing w:after="40" w:before="40"/>
      </w:pPr>
      <w:r>
        <w:rPr>
          <w:rFonts w:ascii="Arial" w:cs="Arial" w:eastAsia="Arial" w:hAnsi="Arial"/>
          <w:sz w:val="22"/>
          <w:szCs w:val="22"/>
        </w:rPr>
        <w:t xml:space="preserve">Using AI to circumvent security controls, automate phishing or social engineering, or generate malicious code</w:t>
      </w:r>
    </w:p>
    <w:p>
      <w:pPr>
        <w:pStyle w:val="ListParagraph"/>
        <w:numPr>
          <w:ilvl w:val="0"/>
          <w:numId w:val="2"/>
        </w:numPr>
        <w:spacing w:after="40" w:before="40"/>
      </w:pPr>
      <w:r>
        <w:rPr>
          <w:rFonts w:ascii="Arial" w:cs="Arial" w:eastAsia="Arial" w:hAnsi="Arial"/>
          <w:sz w:val="22"/>
          <w:szCs w:val="22"/>
        </w:rPr>
        <w:t xml:space="preserve">Making final employment, credit, legal, or other consequential decisions based solely on AI output without human review</w:t>
      </w:r>
    </w:p>
    <w:p>
      <w:pPr>
        <w:pStyle w:val="ListParagraph"/>
        <w:numPr>
          <w:ilvl w:val="0"/>
          <w:numId w:val="2"/>
        </w:numPr>
        <w:spacing w:after="40" w:before="40"/>
      </w:pPr>
      <w:r>
        <w:rPr>
          <w:rFonts w:ascii="Arial" w:cs="Arial" w:eastAsia="Arial" w:hAnsi="Arial"/>
          <w:sz w:val="22"/>
          <w:szCs w:val="22"/>
        </w:rPr>
        <w:t xml:space="preserve">Using AI to process CJI or other regulated data without specific authorization and controls (see CJIS Addendum)</w:t>
      </w:r>
    </w:p>
    <w:p>
      <w:pPr>
        <w:pStyle w:val="ListParagraph"/>
        <w:numPr>
          <w:ilvl w:val="0"/>
          <w:numId w:val="2"/>
        </w:numPr>
        <w:spacing w:after="40" w:before="40"/>
      </w:pPr>
      <w:r>
        <w:rPr>
          <w:rFonts w:ascii="Arial" w:cs="Arial" w:eastAsia="Arial" w:hAnsi="Arial"/>
          <w:sz w:val="22"/>
          <w:szCs w:val="22"/>
        </w:rPr>
        <w:t xml:space="preserve">Submitting confidential or prohibited data to consumer AI tools not authorized for business use</w:t>
      </w:r>
    </w:p>
    <w:p>
      <w:pPr>
        <w:spacing w:after="60" w:before="60"/>
      </w:pPr>
      <w:r>
        <w:t xml:space="preserve"/>
      </w:r>
    </w:p>
    <w:p>
      <w:pPr>
        <w:pStyle w:val="Heading1"/>
        <w:shd w:fill="1F4E79" w:val="clear"/>
        <w:spacing w:after="120" w:before="300"/>
      </w:pPr>
      <w:r>
        <w:rPr>
          <w:rFonts w:ascii="Arial" w:cs="Arial" w:eastAsia="Arial" w:hAnsi="Arial"/>
          <w:b/>
          <w:bCs/>
          <w:color w:val="FFFFFF"/>
          <w:sz w:val="32"/>
          <w:szCs w:val="32"/>
        </w:rPr>
        <w:t xml:space="preserve">10. Training and Awareness</w:t>
      </w:r>
    </w:p>
    <w:p>
      <w:pPr>
        <w:spacing w:after="60" w:before="60"/>
      </w:pPr>
      <w:r>
        <w:rPr>
          <w:rFonts w:ascii="Arial" w:cs="Arial" w:eastAsia="Arial" w:hAnsi="Arial"/>
          <w:sz w:val="22"/>
          <w:szCs w:val="22"/>
        </w:rPr>
        <w:t xml:space="preserve">All employees must complete AI awareness training covering this policy, prohibited inputs, and responsible use practices within [30/60] days of policy adoption and at each annual policy review. Training is administered through [TRAINING PLATFORM].</w:t>
      </w:r>
    </w:p>
    <w:p>
      <w:pPr>
        <w:spacing w:after="60" w:before="60"/>
      </w:pPr>
      <w:r>
        <w:t xml:space="preserve"/>
      </w:r>
    </w:p>
    <w:p>
      <w:pPr>
        <w:pStyle w:val="Heading1"/>
        <w:shd w:fill="1F4E79" w:val="clear"/>
        <w:spacing w:after="120" w:before="300"/>
      </w:pPr>
      <w:r>
        <w:rPr>
          <w:rFonts w:ascii="Arial" w:cs="Arial" w:eastAsia="Arial" w:hAnsi="Arial"/>
          <w:b/>
          <w:bCs/>
          <w:color w:val="FFFFFF"/>
          <w:sz w:val="32"/>
          <w:szCs w:val="32"/>
        </w:rPr>
        <w:t xml:space="preserve">11. Incident Reporting</w:t>
      </w:r>
    </w:p>
    <w:p>
      <w:pPr>
        <w:spacing w:after="60" w:before="60"/>
      </w:pPr>
      <w:r>
        <w:rPr>
          <w:rFonts w:ascii="Arial" w:cs="Arial" w:eastAsia="Arial" w:hAnsi="Arial"/>
          <w:sz w:val="22"/>
          <w:szCs w:val="22"/>
        </w:rPr>
        <w:t xml:space="preserve">Users must report the following to [AI GOVERNANCE CONTACT / SECURITY CONTACT] as soon as discovered:</w:t>
      </w:r>
    </w:p>
    <w:p>
      <w:pPr>
        <w:pStyle w:val="ListParagraph"/>
        <w:numPr>
          <w:ilvl w:val="0"/>
          <w:numId w:val="2"/>
        </w:numPr>
        <w:spacing w:after="40" w:before="40"/>
      </w:pPr>
      <w:r>
        <w:rPr>
          <w:rFonts w:ascii="Arial" w:cs="Arial" w:eastAsia="Arial" w:hAnsi="Arial"/>
          <w:sz w:val="22"/>
          <w:szCs w:val="22"/>
        </w:rPr>
        <w:t xml:space="preserve">Inadvertent submission of prohibited data to an AI tool</w:t>
      </w:r>
    </w:p>
    <w:p>
      <w:pPr>
        <w:pStyle w:val="ListParagraph"/>
        <w:numPr>
          <w:ilvl w:val="0"/>
          <w:numId w:val="2"/>
        </w:numPr>
        <w:spacing w:after="40" w:before="40"/>
      </w:pPr>
      <w:r>
        <w:rPr>
          <w:rFonts w:ascii="Arial" w:cs="Arial" w:eastAsia="Arial" w:hAnsi="Arial"/>
          <w:sz w:val="22"/>
          <w:szCs w:val="22"/>
        </w:rPr>
        <w:t xml:space="preserve">AI-generated output that was used in a client deliverable and is discovered to contain significant errors</w:t>
      </w:r>
    </w:p>
    <w:p>
      <w:pPr>
        <w:pStyle w:val="ListParagraph"/>
        <w:numPr>
          <w:ilvl w:val="0"/>
          <w:numId w:val="2"/>
        </w:numPr>
        <w:spacing w:after="40" w:before="40"/>
      </w:pPr>
      <w:r>
        <w:rPr>
          <w:rFonts w:ascii="Arial" w:cs="Arial" w:eastAsia="Arial" w:hAnsi="Arial"/>
          <w:sz w:val="22"/>
          <w:szCs w:val="22"/>
        </w:rPr>
        <w:t xml:space="preserve">Discovery of unauthorized use of AI tools by others in the Organization</w:t>
      </w:r>
    </w:p>
    <w:p>
      <w:pPr>
        <w:pStyle w:val="ListParagraph"/>
        <w:numPr>
          <w:ilvl w:val="0"/>
          <w:numId w:val="2"/>
        </w:numPr>
        <w:spacing w:after="40" w:before="40"/>
      </w:pPr>
      <w:r>
        <w:rPr>
          <w:rFonts w:ascii="Arial" w:cs="Arial" w:eastAsia="Arial" w:hAnsi="Arial"/>
          <w:sz w:val="22"/>
          <w:szCs w:val="22"/>
        </w:rPr>
        <w:t xml:space="preserve">Vendor notification of a data breach or incident involving an AI tool</w:t>
      </w:r>
    </w:p>
    <w:p>
      <w:pPr>
        <w:spacing w:after="60" w:before="60"/>
      </w:pPr>
      <w:r>
        <w:t xml:space="preserve"/>
      </w:r>
    </w:p>
    <w:p>
      <w:pPr>
        <w:pStyle w:val="Heading1"/>
        <w:shd w:fill="1F4E79" w:val="clear"/>
        <w:spacing w:after="120" w:before="300"/>
      </w:pPr>
      <w:r>
        <w:rPr>
          <w:rFonts w:ascii="Arial" w:cs="Arial" w:eastAsia="Arial" w:hAnsi="Arial"/>
          <w:b/>
          <w:bCs/>
          <w:color w:val="FFFFFF"/>
          <w:sz w:val="32"/>
          <w:szCs w:val="32"/>
        </w:rPr>
        <w:t xml:space="preserve">12. Policy Administration</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Document Owner</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[AI GOVERNANCE CONTACT / TITLE]</w:t>
            </w:r>
          </w:p>
        </w:tc>
      </w:tr>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Approved By</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[EXECUTIVE TITLE]</w:t>
            </w:r>
          </w:p>
        </w:tc>
      </w:tr>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Last Reviewed</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[DATE]</w:t>
            </w:r>
          </w:p>
        </w:tc>
      </w:tr>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Next Review</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[DATE]</w:t>
            </w:r>
          </w:p>
        </w:tc>
      </w:tr>
      <w:tr>
        <w:tc>
          <w:tcPr>
            <w:tcW w:type="dxa" w:w="26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References</w:t>
            </w:r>
          </w:p>
        </w:tc>
        <w:tc>
          <w:tcPr>
            <w:tcW w:type="dxa" w:w="67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NIST AI RMF 1.0, NIST SP 800-53 Rev. 5, NIST SP 800-218A, EO 14110</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space="1"/>
      </w:pBdr>
      <w:spacing w:before="60"/>
    </w:pPr>
    <w:r>
      <w:rPr>
        <w:rFonts w:ascii="Arial" w:cs="Arial" w:eastAsia="Arial" w:hAnsi="Arial"/>
        <w:color w:val="595959"/>
        <w:sz w:val="18"/>
        <w:szCs w:val="18"/>
      </w:rPr>
      <w:t xml:space="preserve">CONFIDENTIAL - Internal Use | Page </w:t>
    </w:r>
    <w:r>
      <w:rPr>
        <w:rFonts w:ascii="Arial" w:cs="Arial" w:eastAsia="Arial" w:hAnsi="Arial"/>
        <w:color w:val="595959"/>
        <w:sz w:val="18"/>
        <w:szCs w:val="18"/>
      </w:rPr>
      <w:fldChar w:fldCharType="begin"/>
      <w:instrText xml:space="preserve">PAGE</w:instrText>
      <w:fldChar w:fldCharType="separate"/>
      <w:fldChar w:fldCharType="end"/>
    </w:r>
    <w:r>
      <w:rPr>
        <w:rFonts w:ascii="Arial" w:cs="Arial" w:eastAsia="Arial" w:hAnsi="Arial"/>
        <w:color w:val="595959"/>
        <w:sz w:val="18"/>
        <w:szCs w:val="18"/>
      </w:rPr>
      <w:t xml:space="preserve"> of </w:t>
    </w:r>
    <w:r>
      <w:rPr>
        <w:rFonts w:ascii="Arial" w:cs="Arial" w:eastAsia="Arial" w:hAnsi="Arial"/>
        <w:color w:val="595959"/>
        <w:sz w:val="18"/>
        <w:szCs w:val="18"/>
      </w:rPr>
      <w:fldChar w:fldCharType="begin"/>
      <w:instrText xml:space="preserve">NUMPAGES</w:instrText>
      <w:fldChar w:fldCharType="separate"/>
      <w:fldChar w:fldCharType="end"/>
    </w:r>
    <w:r>
      <w:rPr>
        <w:rFonts w:ascii="Arial" w:cs="Arial" w:eastAsia="Arial" w:hAnsi="Arial"/>
        <w:color w:val="595959"/>
        <w:sz w:val="18"/>
        <w:szCs w:val="18"/>
      </w:rPr>
      <w:t xml:space="preserve"> | Review with qualified legal counsel before adoption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space="1"/>
      </w:pBdr>
      <w:spacing w:after="120"/>
    </w:pPr>
    <w:r>
      <w:rPr>
        <w:rFonts w:ascii="Arial" w:cs="Arial" w:eastAsia="Arial" w:hAnsi="Arial"/>
        <w:color w:val="595959"/>
        <w:sz w:val="18"/>
        <w:szCs w:val="18"/>
      </w:rPr>
      <w:t xml:space="preserve">Technology Policy | </w:t>
    </w:r>
    <w:r>
      <w:rPr>
        <w:rFonts w:ascii="Arial" w:cs="Arial" w:eastAsia="Arial" w:hAnsi="Arial"/>
        <w:b/>
        <w:bCs/>
        <w:color w:val="2E75B6"/>
        <w:sz w:val="18"/>
        <w:szCs w:val="18"/>
      </w:rPr>
      <w:t xml:space="preserve">Artificial Intelligence Acceptable Use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hd w:fill="1F4E79" w:val="clear"/>
      <w:spacing w:after="120" w:before="240"/>
      <w:outlineLvl w:val="0"/>
    </w:pPr>
    <w:rPr>
      <w:rFonts w:ascii="Arial" w:cs="Arial" w:eastAsia="Arial" w:hAnsi="Arial"/>
      <w:b/>
      <w:bCs/>
      <w:color w:val="FFFFFF"/>
      <w:sz w:val="32"/>
      <w:szCs w:val="32"/>
    </w:rPr>
  </w:style>
  <w:style w:type="paragraph" w:styleId="Heading2">
    <w:name w:val="Heading 2"/>
    <w:basedOn w:val="Normal"/>
    <w:next w:val="Normal"/>
    <w:qFormat/>
    <w:pPr>
      <w:pBdr>
        <w:bottom w:val="single" w:color="2E75B6" w:sz="4" w:space="1"/>
      </w:pBdr>
      <w:spacing w:after="100" w:before="200"/>
      <w:outlineLvl w:val="1"/>
    </w:pPr>
    <w:rPr>
      <w:rFonts w:ascii="Arial" w:cs="Arial" w:eastAsia="Arial" w:hAnsi="Arial"/>
      <w:b/>
      <w:bCs/>
      <w:color w:val="2E75B6"/>
      <w:sz w:val="26"/>
      <w:szCs w:val="26"/>
    </w:rPr>
  </w:style>
  <w:style w:type="paragraph" w:styleId="Heading3">
    <w:name w:val="Heading 3"/>
    <w:basedOn w:val="Normal"/>
    <w:next w:val="Normal"/>
    <w:qFormat/>
    <w:pPr>
      <w:spacing w:after="80" w:before="160"/>
      <w:outlineLvl w:val="2"/>
    </w:pPr>
    <w:rPr>
      <w:rFonts w:ascii="Arial" w:cs="Arial" w:eastAsia="Arial" w:hAnsi="Arial"/>
      <w:b/>
      <w:bCs/>
      <w:color w:val="1F4E79"/>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2026-04-25T17:57:38.845Z</dcterms:created>
  <dcterms:modified xsi:type="dcterms:W3CDTF">2026-04-25T17:57:38.845Z</dcterms:modified>
</cp:coreProperties>
</file>

<file path=docProps/custom.xml><?xml version="1.0" encoding="utf-8"?>
<Properties xmlns="http://schemas.openxmlformats.org/officeDocument/2006/custom-properties" xmlns:vt="http://schemas.openxmlformats.org/officeDocument/2006/docPropsVTypes"/>
</file>